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89" w:rsidRPr="00E905DC" w:rsidRDefault="000E4189" w:rsidP="000E4189">
      <w:pPr>
        <w:spacing w:line="36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Starting Point for new Systems</w:t>
      </w:r>
    </w:p>
    <w:p w:rsidR="000E4189" w:rsidRPr="000E4189" w:rsidRDefault="000E4189" w:rsidP="000E4189">
      <w:pPr>
        <w:spacing w:line="360" w:lineRule="auto"/>
        <w:rPr>
          <w:u w:val="single"/>
        </w:rPr>
      </w:pPr>
      <w:r w:rsidRPr="000E4189">
        <w:rPr>
          <w:u w:val="single"/>
        </w:rPr>
        <w:t>Purchase Orders</w:t>
      </w:r>
    </w:p>
    <w:p w:rsidR="00545A82" w:rsidRDefault="003C1F95" w:rsidP="002F6670">
      <w:pPr>
        <w:spacing w:line="360" w:lineRule="auto"/>
      </w:pPr>
      <w:r>
        <w:t>Synantix can</w:t>
      </w:r>
      <w:r w:rsidR="000E4189">
        <w:t xml:space="preserve"> provide an import template to import Open Purchase Orders i.e. Commitments. This </w:t>
      </w:r>
      <w:r w:rsidR="00135FF4">
        <w:t>provides opening position on Commitments. The values should be the Open element of the PO i.e. if part paid just the remaining balance.</w:t>
      </w:r>
    </w:p>
    <w:p w:rsidR="00135FF4" w:rsidRDefault="00135FF4" w:rsidP="002F6670">
      <w:pPr>
        <w:spacing w:line="360" w:lineRule="auto"/>
      </w:pPr>
      <w:r>
        <w:t xml:space="preserve">These PO’s will be applied to the new Group structure and follow the appropriate approval path. Alternatively, they can be imported as Approved Order. </w:t>
      </w:r>
    </w:p>
    <w:p w:rsidR="00135FF4" w:rsidRDefault="00135FF4" w:rsidP="002F6670">
      <w:pPr>
        <w:spacing w:line="360" w:lineRule="auto"/>
      </w:pPr>
      <w:r>
        <w:t>NB By importing into the new system a new PO number would be applied. This would mean that Accounts Payable team would need to maintain a list of old open PO’s with old PO number and new PO number. For this reason it is recommended that in transit Order and Invoices are kept to a minimum and processed in the old system before data transformation.</w:t>
      </w:r>
    </w:p>
    <w:p w:rsidR="00423709" w:rsidRDefault="003C1F95" w:rsidP="002F6670">
      <w:pPr>
        <w:spacing w:line="360" w:lineRule="auto"/>
      </w:pPr>
      <w:r>
        <w:t xml:space="preserve">Synantix can </w:t>
      </w:r>
      <w:r w:rsidR="00423709">
        <w:t xml:space="preserve">provide Excel based import template which will need to contain new Group, analysis codes and open element of the order i.e. the part that </w:t>
      </w:r>
      <w:r w:rsidR="00120E9A">
        <w:t xml:space="preserve">has not </w:t>
      </w:r>
      <w:r w:rsidR="00423709">
        <w:t>been paid. Sample template will be provided.</w:t>
      </w:r>
    </w:p>
    <w:p w:rsidR="00135FF4" w:rsidRPr="000E4189" w:rsidRDefault="00135FF4" w:rsidP="00135FF4">
      <w:pPr>
        <w:spacing w:line="360" w:lineRule="auto"/>
        <w:rPr>
          <w:u w:val="single"/>
        </w:rPr>
      </w:pPr>
      <w:r w:rsidRPr="000E4189">
        <w:rPr>
          <w:u w:val="single"/>
        </w:rPr>
        <w:t xml:space="preserve">Purchase </w:t>
      </w:r>
      <w:r>
        <w:rPr>
          <w:u w:val="single"/>
        </w:rPr>
        <w:t>Invoices</w:t>
      </w:r>
    </w:p>
    <w:p w:rsidR="00135FF4" w:rsidRDefault="00135FF4" w:rsidP="00135FF4">
      <w:pPr>
        <w:spacing w:line="360" w:lineRule="auto"/>
      </w:pPr>
      <w:r>
        <w:t>In transit Purchase Invoices in the old system would be re-submitted into the new system. PDF images could either be printed and re-scanned or emailed to nominated company email box. These would either be matched to Open Purchase Orders or submitted as non PO invoices as appropriate.</w:t>
      </w:r>
    </w:p>
    <w:p w:rsidR="00EA5372" w:rsidRPr="00ED526E" w:rsidRDefault="00135FF4" w:rsidP="00ED526E">
      <w:pPr>
        <w:spacing w:line="360" w:lineRule="auto"/>
        <w:rPr>
          <w:b/>
          <w:u w:val="single"/>
        </w:rPr>
      </w:pPr>
      <w:r>
        <w:rPr>
          <w:b/>
          <w:u w:val="single"/>
        </w:rPr>
        <w:t>Checks &amp; Balances</w:t>
      </w:r>
    </w:p>
    <w:p w:rsidR="00ED526E" w:rsidRDefault="00ED526E" w:rsidP="00ED526E">
      <w:pPr>
        <w:pStyle w:val="ListParagraph"/>
        <w:numPr>
          <w:ilvl w:val="0"/>
          <w:numId w:val="11"/>
        </w:numPr>
        <w:spacing w:line="360" w:lineRule="auto"/>
      </w:pPr>
      <w:r>
        <w:t>Approved Purchase Order in old iDocuments system should be the same as new – this can be verified with listing of Purchase Orders from both systems</w:t>
      </w:r>
    </w:p>
    <w:p w:rsidR="00ED526E" w:rsidRDefault="00ED526E" w:rsidP="00ED526E">
      <w:pPr>
        <w:pStyle w:val="ListParagraph"/>
        <w:numPr>
          <w:ilvl w:val="0"/>
          <w:numId w:val="11"/>
        </w:numPr>
        <w:spacing w:line="360" w:lineRule="auto"/>
        <w:sectPr w:rsidR="00ED526E" w:rsidSect="00EA537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Commitments from old iDocuments system should be the same in new, or any differences explained. This could be achieved by importing current open Purchase Orders into the new iDocuments</w:t>
      </w:r>
      <w:r w:rsidR="00135FF4">
        <w:t xml:space="preserve"> system and applying new Groups as defined above.</w:t>
      </w:r>
    </w:p>
    <w:p w:rsidR="008B739C" w:rsidRDefault="00F27AB4" w:rsidP="008B739C">
      <w:r>
        <w:lastRenderedPageBreak/>
        <w:t>Step Plan</w:t>
      </w:r>
    </w:p>
    <w:tbl>
      <w:tblPr>
        <w:tblW w:w="14459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11"/>
        <w:gridCol w:w="1984"/>
        <w:gridCol w:w="1417"/>
        <w:gridCol w:w="1418"/>
        <w:gridCol w:w="5812"/>
      </w:tblGrid>
      <w:tr w:rsidR="003340BC" w:rsidRPr="003340BC" w:rsidTr="003340BC">
        <w:trPr>
          <w:tblHeader/>
        </w:trPr>
        <w:tc>
          <w:tcPr>
            <w:tcW w:w="817" w:type="dxa"/>
            <w:tcBorders>
              <w:top w:val="doub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99D6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Step</w:t>
            </w:r>
          </w:p>
        </w:tc>
        <w:tc>
          <w:tcPr>
            <w:tcW w:w="3011" w:type="dxa"/>
            <w:tcBorders>
              <w:top w:val="doub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99D6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Phase</w:t>
            </w:r>
          </w:p>
        </w:tc>
        <w:tc>
          <w:tcPr>
            <w:tcW w:w="1984" w:type="dxa"/>
            <w:tcBorders>
              <w:top w:val="doub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99D6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417" w:type="dxa"/>
            <w:tcBorders>
              <w:top w:val="doub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99D6"/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doub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99D6"/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812" w:type="dxa"/>
            <w:tcBorders>
              <w:top w:val="doub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99D6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6E57BC" w:rsidRPr="00946082" w:rsidTr="00B34DF2">
        <w:trPr>
          <w:cantSplit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6E57BC" w:rsidRPr="003340BC" w:rsidRDefault="006E57BC" w:rsidP="00B34DF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6E57BC" w:rsidRPr="003340BC" w:rsidRDefault="006E57BC" w:rsidP="00B34DF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>User Acceptance Testing (UAT)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sign off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6E57BC" w:rsidRPr="003340BC" w:rsidRDefault="006E57BC" w:rsidP="00B34DF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6E57BC" w:rsidRPr="003340BC" w:rsidRDefault="006E57BC" w:rsidP="00B34DF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6E57BC" w:rsidRPr="003340BC" w:rsidRDefault="006E57BC" w:rsidP="00B34DF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6E57BC" w:rsidRPr="003340BC" w:rsidRDefault="006E57BC" w:rsidP="00B34DF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NB – a minimum of period of 5 working days CODE FREEZE is recommended before go-live from point of UAT sign-off.</w:t>
            </w: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Test email alerts and single-sign on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  <w:r w:rsidR="008B739C" w:rsidRPr="003340BC">
              <w:rPr>
                <w:rFonts w:asciiTheme="minorHAnsi" w:hAnsiTheme="minorHAnsi" w:cs="Arial"/>
                <w:bCs/>
                <w:color w:val="000000" w:themeColor="text1"/>
              </w:rPr>
              <w:t>/Synantix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Test invoice scanning and capture by email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D526E" w:rsidRPr="00ED526E" w:rsidTr="003340BC">
        <w:trPr>
          <w:cantSplit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Verify that historical Purchase Orders and Invoices and been correctly converted and assigned to new chart of accounts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Verify data migration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Check iDocuments users information is correct including Microsoft AD credentials and email on iDocuments user accounts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Ensure new starters, leavers, org changes are incorporated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Check and verify Groups are correct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color w:val="000000" w:themeColor="text1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Ensure new starters, leavers, org changes are incorporated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Check and verify Roles are correct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color w:val="000000" w:themeColor="text1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Ensure new starters, leavers, org changes are incorporated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Check and verify Approval Workflows are correct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rPr>
                <w:color w:val="000000" w:themeColor="text1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Ensure new starters, leavers, org changes are incorporated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Check and confirm any changes to Page Rights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color w:val="000000" w:themeColor="text1"/>
              </w:rPr>
            </w:pPr>
          </w:p>
        </w:tc>
      </w:tr>
      <w:tr w:rsidR="00ED526E" w:rsidRPr="00ED526E" w:rsidTr="003340BC">
        <w:trPr>
          <w:cantSplit/>
        </w:trPr>
        <w:tc>
          <w:tcPr>
            <w:tcW w:w="817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color w:val="000000" w:themeColor="text1"/>
                <w:sz w:val="20"/>
                <w:szCs w:val="20"/>
              </w:rPr>
              <w:t>Advise PO numbering sequence required for new system.</w:t>
            </w:r>
          </w:p>
        </w:tc>
        <w:tc>
          <w:tcPr>
            <w:tcW w:w="1984" w:type="dxa"/>
            <w:shd w:val="clear" w:color="auto" w:fill="auto"/>
          </w:tcPr>
          <w:p w:rsidR="00C61FC4" w:rsidRPr="003340BC" w:rsidRDefault="00120E9A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  <w:shd w:val="clear" w:color="auto" w:fill="auto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C61FC4" w:rsidRPr="003340BC" w:rsidRDefault="00C61FC4" w:rsidP="00C61FC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color w:val="000000" w:themeColor="text1"/>
                <w:sz w:val="20"/>
                <w:szCs w:val="20"/>
              </w:rPr>
              <w:t>Sequential number start point</w:t>
            </w:r>
            <w:r w:rsidR="00CD2C27">
              <w:rPr>
                <w:color w:val="000000" w:themeColor="text1"/>
                <w:sz w:val="20"/>
                <w:szCs w:val="20"/>
              </w:rPr>
              <w:t xml:space="preserve"> – IF REQUIRED</w:t>
            </w:r>
          </w:p>
        </w:tc>
      </w:tr>
      <w:tr w:rsidR="00135FF4" w:rsidRPr="00ED526E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135FF4" w:rsidRPr="003340BC" w:rsidRDefault="00135FF4" w:rsidP="00135FF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35FF4" w:rsidRPr="003340BC" w:rsidRDefault="00135FF4" w:rsidP="00135FF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Test cutover of Open Purchase Orders (Commitments) and transfer of Purchase Invoices from old system.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135FF4" w:rsidRPr="003340BC" w:rsidRDefault="00120E9A" w:rsidP="00135FF4">
            <w:pPr>
              <w:rPr>
                <w:color w:val="000000" w:themeColor="text1"/>
                <w:sz w:val="20"/>
                <w:szCs w:val="20"/>
              </w:rPr>
            </w:pPr>
            <w:r w:rsidRPr="003340BC">
              <w:rPr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135FF4" w:rsidRPr="003340BC" w:rsidRDefault="00135FF4" w:rsidP="00135FF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135FF4" w:rsidRPr="003340BC" w:rsidRDefault="00135FF4" w:rsidP="00135FF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135FF4" w:rsidRPr="003340BC" w:rsidRDefault="00135FF4" w:rsidP="00135FF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340BC" w:rsidRPr="00E77A91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 xml:space="preserve">Apply any changes to users, roles, groups, workflows advised by </w:t>
            </w:r>
            <w:r w:rsidR="00120E9A"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120E9A" w:rsidP="000737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>User Acceptance Testing Sign-Off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:rsidR="008B739C" w:rsidRPr="003340BC" w:rsidRDefault="008B739C" w:rsidP="000737D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/>
                <w:color w:val="000000" w:themeColor="text1"/>
                <w:sz w:val="20"/>
                <w:szCs w:val="20"/>
              </w:rPr>
              <w:t>iDocuments UAT Sign-Off (Confirmation iDocuments is ready for Go Live)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Systems DR, security and back-up procedures and policies in place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120E9A" w:rsidP="00C61FC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In line with </w:t>
            </w:r>
            <w:r w:rsidR="00120E9A" w:rsidRPr="003340BC">
              <w:rPr>
                <w:rFonts w:cs="Arial"/>
                <w:color w:val="000000" w:themeColor="text1"/>
                <w:sz w:val="20"/>
                <w:szCs w:val="20"/>
              </w:rPr>
              <w:t>[Customer]</w:t>
            </w: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 IT policies and procedures</w:t>
            </w:r>
          </w:p>
        </w:tc>
      </w:tr>
      <w:tr w:rsidR="00ED526E" w:rsidRPr="00ED526E" w:rsidTr="003340BC">
        <w:trPr>
          <w:cantSplit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Confirm emails for incoming invoices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bCs/>
                <w:color w:val="000000" w:themeColor="text1"/>
                <w:sz w:val="20"/>
                <w:szCs w:val="20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Separate email addresses required for </w:t>
            </w:r>
            <w:r w:rsidR="00120E9A" w:rsidRPr="003340BC">
              <w:rPr>
                <w:rFonts w:cs="Arial"/>
                <w:color w:val="000000" w:themeColor="text1"/>
                <w:sz w:val="20"/>
                <w:szCs w:val="20"/>
              </w:rPr>
              <w:t>[Customer]</w:t>
            </w:r>
            <w:r w:rsidR="003340B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526E" w:rsidRPr="00ED526E" w:rsidTr="003340BC">
        <w:trPr>
          <w:cantSplit/>
          <w:trHeight w:val="465"/>
        </w:trPr>
        <w:tc>
          <w:tcPr>
            <w:tcW w:w="817" w:type="dxa"/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Verify installation det</w:t>
            </w:r>
            <w:r w:rsidR="003340BC" w:rsidRPr="003340BC">
              <w:rPr>
                <w:rFonts w:asciiTheme="minorHAnsi" w:hAnsiTheme="minorHAnsi" w:cs="Arial"/>
                <w:bCs/>
                <w:color w:val="000000" w:themeColor="text1"/>
              </w:rPr>
              <w:t xml:space="preserve">ails for connecting to live ERP </w:t>
            </w: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databases</w:t>
            </w:r>
          </w:p>
        </w:tc>
        <w:tc>
          <w:tcPr>
            <w:tcW w:w="1984" w:type="dxa"/>
          </w:tcPr>
          <w:p w:rsidR="00C61FC4" w:rsidRPr="003340BC" w:rsidRDefault="00120E9A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C61FC4" w:rsidRPr="003340BC" w:rsidRDefault="00C61FC4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color w:val="000000" w:themeColor="text1"/>
                <w:sz w:val="20"/>
                <w:szCs w:val="20"/>
              </w:rPr>
              <w:t>Review prerequisites document and confirm live environment credentials</w:t>
            </w: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>Cut Over  to live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65B8B" w:rsidRPr="00865B8B" w:rsidTr="003340BC">
        <w:trPr>
          <w:cantSplit/>
        </w:trPr>
        <w:tc>
          <w:tcPr>
            <w:tcW w:w="817" w:type="dxa"/>
          </w:tcPr>
          <w:p w:rsidR="00865B8B" w:rsidRPr="003340BC" w:rsidRDefault="00865B8B" w:rsidP="00865B8B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865B8B" w:rsidRPr="003340BC" w:rsidRDefault="00865B8B" w:rsidP="00865B8B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Identify in transit Purchase Invoices in old system</w:t>
            </w:r>
          </w:p>
        </w:tc>
        <w:tc>
          <w:tcPr>
            <w:tcW w:w="1984" w:type="dxa"/>
          </w:tcPr>
          <w:p w:rsidR="00865B8B" w:rsidRPr="003340BC" w:rsidRDefault="00120E9A" w:rsidP="00865B8B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</w:tcPr>
          <w:p w:rsidR="00865B8B" w:rsidRPr="003340BC" w:rsidRDefault="00865B8B" w:rsidP="00865B8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8B" w:rsidRPr="003340BC" w:rsidRDefault="00865B8B" w:rsidP="00865B8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865B8B" w:rsidRPr="003340BC" w:rsidRDefault="00865B8B" w:rsidP="00865B8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These will need to be re-submitted into new system.</w:t>
            </w:r>
          </w:p>
        </w:tc>
      </w:tr>
      <w:tr w:rsidR="008B739C" w:rsidRPr="00946082" w:rsidTr="003340BC">
        <w:trPr>
          <w:cantSplit/>
        </w:trPr>
        <w:tc>
          <w:tcPr>
            <w:tcW w:w="817" w:type="dxa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8B739C" w:rsidRPr="003340BC" w:rsidRDefault="00E77A91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Clear test transactions from test system</w:t>
            </w:r>
          </w:p>
        </w:tc>
        <w:tc>
          <w:tcPr>
            <w:tcW w:w="1984" w:type="dxa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739C" w:rsidRPr="003340BC" w:rsidRDefault="008E5680" w:rsidP="008E5680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SQL copy of test database</w:t>
            </w:r>
          </w:p>
          <w:p w:rsidR="008E5680" w:rsidRPr="003340BC" w:rsidRDefault="008E5680" w:rsidP="008E5680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Remove test transactions</w:t>
            </w:r>
            <w:r w:rsidR="00E77A91"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 to empty database</w:t>
            </w:r>
          </w:p>
        </w:tc>
      </w:tr>
      <w:tr w:rsidR="003340BC" w:rsidRPr="00423709" w:rsidTr="003340BC">
        <w:trPr>
          <w:cantSplit/>
        </w:trPr>
        <w:tc>
          <w:tcPr>
            <w:tcW w:w="817" w:type="dxa"/>
          </w:tcPr>
          <w:p w:rsidR="00865B8B" w:rsidRPr="003340BC" w:rsidRDefault="00865B8B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865B8B" w:rsidRPr="003340BC" w:rsidRDefault="00865B8B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Import Open Purchase Orders (Commitments)</w:t>
            </w:r>
          </w:p>
        </w:tc>
        <w:tc>
          <w:tcPr>
            <w:tcW w:w="1984" w:type="dxa"/>
          </w:tcPr>
          <w:p w:rsidR="00865B8B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  <w:r w:rsidR="00423709" w:rsidRPr="003340BC">
              <w:rPr>
                <w:rFonts w:asciiTheme="minorHAnsi" w:hAnsiTheme="minorHAnsi" w:cs="Arial"/>
                <w:bCs/>
                <w:color w:val="000000" w:themeColor="text1"/>
              </w:rPr>
              <w:t>/</w:t>
            </w:r>
            <w:r w:rsidR="00865B8B"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</w:tcPr>
          <w:p w:rsidR="00865B8B" w:rsidRPr="003340BC" w:rsidRDefault="00865B8B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B8B" w:rsidRPr="003340BC" w:rsidRDefault="00865B8B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</w:tcPr>
          <w:p w:rsidR="00865B8B" w:rsidRPr="003340BC" w:rsidRDefault="00865B8B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iDocuments PO import utility – Purchase Orders are imported as draft and require approval via new approval group structure (or can be imported as approved if required by </w:t>
            </w:r>
            <w:r w:rsidR="00120E9A" w:rsidRPr="003340BC">
              <w:rPr>
                <w:rFonts w:cs="Arial"/>
                <w:color w:val="000000" w:themeColor="text1"/>
                <w:sz w:val="20"/>
                <w:szCs w:val="20"/>
              </w:rPr>
              <w:t>[Customer]</w:t>
            </w: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3E0162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Switch on email alerts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8E5680" w:rsidP="003E016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Apply iDocuments System Setting ‘Can send emails’ = Y</w:t>
            </w:r>
          </w:p>
        </w:tc>
      </w:tr>
      <w:tr w:rsidR="00E77A91" w:rsidRPr="00E77A91" w:rsidTr="003340BC">
        <w:trPr>
          <w:cantSplit/>
        </w:trPr>
        <w:tc>
          <w:tcPr>
            <w:tcW w:w="817" w:type="dxa"/>
            <w:shd w:val="clear" w:color="auto" w:fill="auto"/>
          </w:tcPr>
          <w:p w:rsidR="003E0162" w:rsidRPr="003340BC" w:rsidRDefault="003E0162" w:rsidP="003E016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shd w:val="clear" w:color="auto" w:fill="auto"/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Change Microsoft IIS setting to enable single sign on</w:t>
            </w:r>
          </w:p>
        </w:tc>
        <w:tc>
          <w:tcPr>
            <w:tcW w:w="1984" w:type="dxa"/>
            <w:shd w:val="clear" w:color="auto" w:fill="auto"/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  <w:r w:rsidR="00E77A91" w:rsidRPr="003340BC">
              <w:rPr>
                <w:rFonts w:asciiTheme="minorHAnsi" w:hAnsiTheme="minorHAnsi" w:cs="Arial"/>
                <w:bCs/>
                <w:color w:val="000000" w:themeColor="text1"/>
              </w:rPr>
              <w:t>/</w:t>
            </w:r>
            <w:r w:rsidR="00120E9A" w:rsidRPr="003340BC">
              <w:rPr>
                <w:rFonts w:asciiTheme="minorHAnsi" w:hAnsiTheme="minorHAnsi" w:cs="Arial"/>
                <w:bCs/>
                <w:color w:val="000000" w:themeColor="text1"/>
              </w:rPr>
              <w:t xml:space="preserve">[Customer] </w:t>
            </w:r>
          </w:p>
        </w:tc>
        <w:tc>
          <w:tcPr>
            <w:tcW w:w="1417" w:type="dxa"/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E0162" w:rsidRPr="00CD2C27" w:rsidRDefault="003E0162" w:rsidP="00CD2C2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B0C38" w:rsidRPr="008B0C38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Connect iDocuments to invoice scanning folders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3E0162" w:rsidRPr="00CD2C27" w:rsidRDefault="003E0162" w:rsidP="00CD2C2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0162" w:rsidRPr="008B0C38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Configure emails for incoming invoices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3E0162" w:rsidRPr="00CD2C27" w:rsidRDefault="003E0162" w:rsidP="00CD2C2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0162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120E9A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 xml:space="preserve">Link iDocuments to live ERP </w:t>
            </w:r>
            <w:r w:rsidR="003E0162" w:rsidRPr="003340BC">
              <w:rPr>
                <w:rFonts w:asciiTheme="minorHAnsi" w:hAnsiTheme="minorHAnsi" w:cs="Arial"/>
                <w:bCs/>
                <w:color w:val="000000" w:themeColor="text1"/>
              </w:rPr>
              <w:t>database</w:t>
            </w:r>
            <w:r w:rsidR="005D7825" w:rsidRPr="003340BC">
              <w:rPr>
                <w:rFonts w:asciiTheme="minorHAnsi" w:hAnsiTheme="minorHAnsi" w:cs="Arial"/>
                <w:bCs/>
                <w:color w:val="000000" w:themeColor="text1"/>
              </w:rPr>
              <w:t>/business units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iDocuments Admin function &gt; Application Configuration &gt; Companies</w:t>
            </w:r>
          </w:p>
        </w:tc>
      </w:tr>
      <w:tr w:rsidR="003E0162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Set up  Purchase Order numbering new start point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E0162" w:rsidRPr="003340BC" w:rsidRDefault="003E0162" w:rsidP="003E016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3E0162" w:rsidRPr="003340BC" w:rsidRDefault="003E0162" w:rsidP="003E016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Controlled by iDocuments Company Setting</w:t>
            </w: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Set up test/training databases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3E0162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A copy of the live iDocuments database will be taken to create a test/training system.</w:t>
            </w:r>
          </w:p>
        </w:tc>
      </w:tr>
      <w:tr w:rsidR="008B0C38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0C38" w:rsidRPr="003340BC" w:rsidRDefault="008B0C38" w:rsidP="008B0C3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0C38" w:rsidRPr="003340BC" w:rsidRDefault="008B0C38" w:rsidP="008B0C3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Review configuration pre go live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0C38" w:rsidRPr="003340BC" w:rsidRDefault="00120E9A" w:rsidP="008B0C3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0C38" w:rsidRPr="003340BC" w:rsidRDefault="008B0C38" w:rsidP="008B0C3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0C38" w:rsidRPr="003340BC" w:rsidRDefault="008B0C38" w:rsidP="008B0C3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0C38" w:rsidRPr="003340BC" w:rsidRDefault="008B0C38" w:rsidP="008B0C3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B0C38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0C38" w:rsidRPr="003340BC" w:rsidRDefault="008B0C38" w:rsidP="008B0C3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0C38" w:rsidRPr="003340BC" w:rsidRDefault="003340BC" w:rsidP="008B0C3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Verify SSC posting to live ERP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0C38" w:rsidRPr="003340BC" w:rsidRDefault="00120E9A" w:rsidP="008B0C3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0C38" w:rsidRPr="003340BC" w:rsidRDefault="008B0C38" w:rsidP="008B0C3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0C38" w:rsidRPr="003340BC" w:rsidRDefault="008B0C38" w:rsidP="008B0C3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0C38" w:rsidRPr="003340BC" w:rsidRDefault="00120E9A" w:rsidP="008B0C3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[Customer]</w:t>
            </w:r>
            <w:r w:rsidR="008B0C38"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 to submit controlled transactions </w:t>
            </w:r>
            <w:r w:rsidR="003340BC"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to verify posting to ERP </w:t>
            </w:r>
            <w:r w:rsidR="008B0C38" w:rsidRPr="003340BC">
              <w:rPr>
                <w:rFonts w:cs="Arial"/>
                <w:color w:val="000000" w:themeColor="text1"/>
                <w:sz w:val="20"/>
                <w:szCs w:val="20"/>
              </w:rPr>
              <w:t>before general release to users.</w:t>
            </w:r>
          </w:p>
        </w:tc>
      </w:tr>
      <w:tr w:rsidR="003340BC" w:rsidRPr="00865B8B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65B8B" w:rsidRPr="003340BC" w:rsidRDefault="00865B8B" w:rsidP="008B0C3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65B8B" w:rsidRPr="003340BC" w:rsidRDefault="00865B8B" w:rsidP="008B0C3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Submit Purchase Invoices to new systems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65B8B" w:rsidRPr="003340BC" w:rsidRDefault="00120E9A" w:rsidP="008B0C3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65B8B" w:rsidRPr="003340BC" w:rsidRDefault="00865B8B" w:rsidP="008B0C3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65B8B" w:rsidRPr="003340BC" w:rsidRDefault="00865B8B" w:rsidP="008B0C3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65B8B" w:rsidRPr="003340BC" w:rsidRDefault="00865B8B" w:rsidP="008B0C3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Submit Purchase Invoices by scanning or email. This will include in transit Purchase Invoices from old system and previously unprocessed invoices.</w:t>
            </w:r>
          </w:p>
        </w:tc>
      </w:tr>
      <w:tr w:rsidR="008B739C" w:rsidRPr="00946082" w:rsidTr="003340BC">
        <w:trPr>
          <w:cantSplit/>
          <w:trHeight w:val="442"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>Go-Live Sign-Off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8B739C" w:rsidRPr="003340BC" w:rsidRDefault="008B739C" w:rsidP="000737D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340BC" w:rsidRPr="00E77A91" w:rsidTr="003340BC">
        <w:trPr>
          <w:cantSplit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iDocuments Admin handover/training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Synantix/</w:t>
            </w:r>
            <w:r w:rsidR="00120E9A"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</w:tcBorders>
          </w:tcPr>
          <w:p w:rsidR="00C61FC4" w:rsidRPr="003340BC" w:rsidRDefault="00ED526E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340BC">
              <w:rPr>
                <w:rFonts w:cs="Arial"/>
                <w:color w:val="000000" w:themeColor="text1"/>
                <w:sz w:val="20"/>
                <w:szCs w:val="20"/>
              </w:rPr>
              <w:t>To be scheduled at go-live</w:t>
            </w:r>
            <w:r w:rsidR="00E77A91"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 from this point </w:t>
            </w:r>
            <w:r w:rsidR="00120E9A" w:rsidRPr="003340BC">
              <w:rPr>
                <w:rFonts w:cs="Arial"/>
                <w:color w:val="000000" w:themeColor="text1"/>
                <w:sz w:val="20"/>
                <w:szCs w:val="20"/>
              </w:rPr>
              <w:t>[Customer]</w:t>
            </w:r>
            <w:r w:rsidR="00E77A91" w:rsidRPr="003340BC">
              <w:rPr>
                <w:rFonts w:cs="Arial"/>
                <w:color w:val="000000" w:themeColor="text1"/>
                <w:sz w:val="20"/>
                <w:szCs w:val="20"/>
              </w:rPr>
              <w:t xml:space="preserve"> iDocuments System Admin will make any configuration changes to users, GL accounts, groups, workflows etc.</w:t>
            </w:r>
          </w:p>
        </w:tc>
      </w:tr>
      <w:tr w:rsidR="00C61FC4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C61FC4" w:rsidRPr="003340BC" w:rsidRDefault="00C61FC4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Update internal end user and system documentation, procedures and training material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120E9A" w:rsidP="00C61FC4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C61FC4" w:rsidRPr="003340BC" w:rsidRDefault="00C61FC4" w:rsidP="00C61FC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Conduct End User Training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6A6A6" w:themeColor="background1" w:themeShade="A6"/>
            </w:tcBorders>
          </w:tcPr>
          <w:p w:rsidR="008B739C" w:rsidRPr="003340BC" w:rsidRDefault="008B739C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B739C" w:rsidRPr="00946082" w:rsidTr="003340BC">
        <w:trPr>
          <w:cantSplit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Production - Go Live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39C" w:rsidRPr="003340BC" w:rsidRDefault="008B739C" w:rsidP="000737D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739C" w:rsidRPr="003340BC" w:rsidRDefault="008B739C" w:rsidP="000737D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B739C" w:rsidRPr="00BA4F1D" w:rsidTr="003340BC">
        <w:trPr>
          <w:cantSplit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Post go-live review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120E9A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[Customer]</w:t>
            </w:r>
            <w:r w:rsidR="003340BC" w:rsidRPr="003340BC">
              <w:rPr>
                <w:rFonts w:asciiTheme="minorHAnsi" w:hAnsiTheme="minorHAnsi" w:cs="Arial"/>
                <w:bCs/>
                <w:color w:val="000000" w:themeColor="text1"/>
              </w:rPr>
              <w:t>/</w:t>
            </w:r>
          </w:p>
          <w:p w:rsidR="008B739C" w:rsidRPr="003340BC" w:rsidRDefault="008B739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Synantix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B739C" w:rsidRPr="00BA4F1D" w:rsidTr="003340BC">
        <w:trPr>
          <w:cantSplit/>
        </w:trPr>
        <w:tc>
          <w:tcPr>
            <w:tcW w:w="8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pStyle w:val="BodyText"/>
              <w:numPr>
                <w:ilvl w:val="0"/>
                <w:numId w:val="4"/>
              </w:numPr>
              <w:spacing w:before="60" w:after="60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3340B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 xml:space="preserve">Handover to </w:t>
            </w:r>
            <w:r w:rsidR="008B739C" w:rsidRPr="003340BC">
              <w:rPr>
                <w:rFonts w:asciiTheme="minorHAnsi" w:hAnsiTheme="minorHAnsi" w:cs="Arial"/>
                <w:bCs/>
                <w:color w:val="000000" w:themeColor="text1"/>
              </w:rPr>
              <w:t>Support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3340BC" w:rsidP="000737D8">
            <w:pPr>
              <w:pStyle w:val="BodyText"/>
              <w:spacing w:before="60" w:after="60"/>
              <w:ind w:left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340BC">
              <w:rPr>
                <w:rFonts w:asciiTheme="minorHAnsi" w:hAnsiTheme="minorHAnsi" w:cs="Arial"/>
                <w:bCs/>
                <w:color w:val="000000" w:themeColor="text1"/>
              </w:rPr>
              <w:t>[Partner]</w:t>
            </w:r>
            <w:r w:rsidR="00957C82">
              <w:rPr>
                <w:rFonts w:asciiTheme="minorHAnsi" w:hAnsiTheme="minorHAnsi" w:cs="Arial"/>
                <w:bCs/>
                <w:color w:val="000000" w:themeColor="text1"/>
              </w:rPr>
              <w:t>/Synantix Support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8B739C" w:rsidRPr="003340BC" w:rsidRDefault="008B739C" w:rsidP="000737D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8B739C" w:rsidRDefault="008B739C" w:rsidP="003340BC"/>
    <w:sectPr w:rsidR="008B739C" w:rsidSect="00EA5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1F" w:rsidRDefault="003E661F" w:rsidP="001D726B">
      <w:pPr>
        <w:spacing w:after="0" w:line="240" w:lineRule="auto"/>
      </w:pPr>
      <w:r>
        <w:separator/>
      </w:r>
    </w:p>
  </w:endnote>
  <w:endnote w:type="continuationSeparator" w:id="0">
    <w:p w:rsidR="003E661F" w:rsidRDefault="003E661F" w:rsidP="001D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1F" w:rsidRDefault="003E661F" w:rsidP="001D726B">
      <w:pPr>
        <w:spacing w:after="0" w:line="240" w:lineRule="auto"/>
      </w:pPr>
      <w:r>
        <w:separator/>
      </w:r>
    </w:p>
  </w:footnote>
  <w:footnote w:type="continuationSeparator" w:id="0">
    <w:p w:rsidR="003E661F" w:rsidRDefault="003E661F" w:rsidP="001D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9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51"/>
      <w:gridCol w:w="222"/>
    </w:tblGrid>
    <w:tr w:rsidR="00EF6DA5" w:rsidRPr="001B0ECC" w:rsidTr="0021601F">
      <w:tc>
        <w:tcPr>
          <w:tcW w:w="10173" w:type="dxa"/>
        </w:tcPr>
        <w:tbl>
          <w:tblPr>
            <w:tblStyle w:val="TableGrid"/>
            <w:tblW w:w="14635" w:type="dxa"/>
            <w:tblBorders>
              <w:top w:val="none" w:sz="0" w:space="0" w:color="auto"/>
              <w:left w:val="none" w:sz="0" w:space="0" w:color="auto"/>
              <w:bottom w:val="single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800"/>
            <w:gridCol w:w="2835"/>
          </w:tblGrid>
          <w:tr w:rsidR="00EF6DA5" w:rsidTr="00216788">
            <w:tc>
              <w:tcPr>
                <w:tcW w:w="11800" w:type="dxa"/>
              </w:tcPr>
              <w:p w:rsidR="00EF6DA5" w:rsidRDefault="00EF6DA5" w:rsidP="00EF6DA5">
                <w:pPr>
                  <w:pStyle w:val="Head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EA1572E" wp14:editId="5E9A45B1">
                      <wp:extent cx="1545316" cy="46672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ynantix Logo PNG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7369" cy="467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</w:tcPr>
              <w:p w:rsidR="00EF6DA5" w:rsidRPr="00822F08" w:rsidRDefault="00216788" w:rsidP="00216788">
                <w:pPr>
                  <w:pStyle w:val="Header"/>
                  <w:rPr>
                    <w:rFonts w:cs="Aharon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cs="Aharoni"/>
                    <w:b/>
                    <w:color w:val="404040" w:themeColor="text1" w:themeTint="BF"/>
                    <w:sz w:val="20"/>
                    <w:szCs w:val="20"/>
                  </w:rPr>
                  <w:t>GO-LIVE PLAN</w:t>
                </w:r>
              </w:p>
              <w:p w:rsidR="00EF6DA5" w:rsidRPr="00B812C5" w:rsidRDefault="00216788" w:rsidP="00216788">
                <w:pPr>
                  <w:pStyle w:val="Header"/>
                  <w:rPr>
                    <w:rFonts w:cs="Aharoni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cs="Aharoni"/>
                    <w:color w:val="404040" w:themeColor="text1" w:themeTint="BF"/>
                    <w:sz w:val="20"/>
                    <w:szCs w:val="20"/>
                  </w:rPr>
                  <w:t>Doc Ref: ID140</w:t>
                </w:r>
              </w:p>
              <w:p w:rsidR="00EF6DA5" w:rsidRPr="00B812C5" w:rsidRDefault="00EF6DA5" w:rsidP="00216788">
                <w:pPr>
                  <w:pStyle w:val="Header"/>
                  <w:rPr>
                    <w:rFonts w:cs="Aharoni"/>
                    <w:color w:val="404040" w:themeColor="text1" w:themeTint="BF"/>
                    <w:sz w:val="20"/>
                    <w:szCs w:val="20"/>
                  </w:rPr>
                </w:pPr>
                <w:r w:rsidRPr="00B812C5">
                  <w:rPr>
                    <w:rFonts w:cs="Aharoni"/>
                    <w:color w:val="404040" w:themeColor="text1" w:themeTint="BF"/>
                    <w:sz w:val="20"/>
                    <w:szCs w:val="20"/>
                  </w:rPr>
                  <w:t xml:space="preserve">Date: </w:t>
                </w:r>
                <w:r w:rsidRPr="00B812C5">
                  <w:rPr>
                    <w:color w:val="404040" w:themeColor="text1" w:themeTint="BF"/>
                    <w:sz w:val="20"/>
                    <w:szCs w:val="20"/>
                  </w:rPr>
                  <w:fldChar w:fldCharType="begin"/>
                </w:r>
                <w:r w:rsidRPr="00B812C5">
                  <w:rPr>
                    <w:color w:val="404040" w:themeColor="text1" w:themeTint="BF"/>
                    <w:sz w:val="20"/>
                    <w:szCs w:val="20"/>
                  </w:rPr>
                  <w:instrText xml:space="preserve"> DATE \@ "MMMM d, yyyy" </w:instrText>
                </w:r>
                <w:r w:rsidRPr="00B812C5">
                  <w:rPr>
                    <w:color w:val="404040" w:themeColor="text1" w:themeTint="BF"/>
                    <w:sz w:val="20"/>
                    <w:szCs w:val="20"/>
                  </w:rPr>
                  <w:fldChar w:fldCharType="separate"/>
                </w:r>
                <w:r w:rsidR="006B5D3A">
                  <w:rPr>
                    <w:noProof/>
                    <w:color w:val="404040" w:themeColor="text1" w:themeTint="BF"/>
                    <w:sz w:val="20"/>
                    <w:szCs w:val="20"/>
                  </w:rPr>
                  <w:t>March 14, 2018</w:t>
                </w:r>
                <w:r w:rsidRPr="00B812C5">
                  <w:rPr>
                    <w:color w:val="404040" w:themeColor="text1" w:themeTint="BF"/>
                    <w:sz w:val="20"/>
                    <w:szCs w:val="20"/>
                  </w:rPr>
                  <w:fldChar w:fldCharType="end"/>
                </w:r>
              </w:p>
              <w:p w:rsidR="00EF6DA5" w:rsidRDefault="00EF6DA5" w:rsidP="00216788">
                <w:pPr>
                  <w:pStyle w:val="Header"/>
                </w:pPr>
              </w:p>
            </w:tc>
          </w:tr>
        </w:tbl>
        <w:p w:rsidR="00EF6DA5" w:rsidRPr="00A504F6" w:rsidRDefault="00EF6DA5" w:rsidP="00EF6DA5">
          <w:pPr>
            <w:pStyle w:val="Footer"/>
          </w:pPr>
        </w:p>
      </w:tc>
      <w:tc>
        <w:tcPr>
          <w:tcW w:w="222" w:type="dxa"/>
        </w:tcPr>
        <w:p w:rsidR="00EF6DA5" w:rsidRPr="003C579A" w:rsidRDefault="00EF6DA5" w:rsidP="00EF6DA5">
          <w:pPr>
            <w:pStyle w:val="Footer"/>
            <w:rPr>
              <w:rFonts w:ascii="Gill Sans MT" w:hAnsi="Gill Sans MT"/>
            </w:rPr>
          </w:pPr>
        </w:p>
      </w:tc>
    </w:tr>
  </w:tbl>
  <w:p w:rsidR="000737D8" w:rsidRDefault="00073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775"/>
    <w:multiLevelType w:val="hybridMultilevel"/>
    <w:tmpl w:val="6DC6C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F77CE"/>
    <w:multiLevelType w:val="hybridMultilevel"/>
    <w:tmpl w:val="B478D4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C092B"/>
    <w:multiLevelType w:val="hybridMultilevel"/>
    <w:tmpl w:val="F52AE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828ED"/>
    <w:multiLevelType w:val="hybridMultilevel"/>
    <w:tmpl w:val="6DC6C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33355"/>
    <w:multiLevelType w:val="hybridMultilevel"/>
    <w:tmpl w:val="2528B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282F"/>
    <w:multiLevelType w:val="hybridMultilevel"/>
    <w:tmpl w:val="BF6C14B4"/>
    <w:lvl w:ilvl="0" w:tplc="B4104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D5BDA"/>
    <w:multiLevelType w:val="hybridMultilevel"/>
    <w:tmpl w:val="20A6CC5C"/>
    <w:lvl w:ilvl="0" w:tplc="B4104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905C4"/>
    <w:multiLevelType w:val="multilevel"/>
    <w:tmpl w:val="B3BCA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3" w:hanging="2160"/>
      </w:pPr>
      <w:rPr>
        <w:rFonts w:hint="default"/>
      </w:rPr>
    </w:lvl>
  </w:abstractNum>
  <w:abstractNum w:abstractNumId="8" w15:restartNumberingAfterBreak="0">
    <w:nsid w:val="434440F2"/>
    <w:multiLevelType w:val="hybridMultilevel"/>
    <w:tmpl w:val="64E069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D11B3"/>
    <w:multiLevelType w:val="hybridMultilevel"/>
    <w:tmpl w:val="81F6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56BA7"/>
    <w:multiLevelType w:val="hybridMultilevel"/>
    <w:tmpl w:val="882A5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75E51"/>
    <w:multiLevelType w:val="hybridMultilevel"/>
    <w:tmpl w:val="41667BC0"/>
    <w:lvl w:ilvl="0" w:tplc="B4104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68BC"/>
    <w:multiLevelType w:val="hybridMultilevel"/>
    <w:tmpl w:val="6226A1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C1EC2"/>
    <w:multiLevelType w:val="hybridMultilevel"/>
    <w:tmpl w:val="5C9EB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46656"/>
    <w:multiLevelType w:val="hybridMultilevel"/>
    <w:tmpl w:val="9412E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9"/>
    <w:rsid w:val="00022CF0"/>
    <w:rsid w:val="00026137"/>
    <w:rsid w:val="0005704A"/>
    <w:rsid w:val="000737D8"/>
    <w:rsid w:val="00074108"/>
    <w:rsid w:val="000B5E0B"/>
    <w:rsid w:val="000E4189"/>
    <w:rsid w:val="00120E9A"/>
    <w:rsid w:val="00135FF4"/>
    <w:rsid w:val="00175D26"/>
    <w:rsid w:val="001D726B"/>
    <w:rsid w:val="00216788"/>
    <w:rsid w:val="00234A3F"/>
    <w:rsid w:val="002C71A6"/>
    <w:rsid w:val="002E485C"/>
    <w:rsid w:val="002F6670"/>
    <w:rsid w:val="003340BC"/>
    <w:rsid w:val="0034416D"/>
    <w:rsid w:val="003C1F95"/>
    <w:rsid w:val="003E0162"/>
    <w:rsid w:val="003E661F"/>
    <w:rsid w:val="00416D09"/>
    <w:rsid w:val="00423709"/>
    <w:rsid w:val="00456781"/>
    <w:rsid w:val="00545A82"/>
    <w:rsid w:val="00554DE6"/>
    <w:rsid w:val="005B2AE6"/>
    <w:rsid w:val="005C433B"/>
    <w:rsid w:val="005D7825"/>
    <w:rsid w:val="00691FB5"/>
    <w:rsid w:val="006A214C"/>
    <w:rsid w:val="006B5D3A"/>
    <w:rsid w:val="006C722B"/>
    <w:rsid w:val="006E4D76"/>
    <w:rsid w:val="006E57BC"/>
    <w:rsid w:val="007A5AC9"/>
    <w:rsid w:val="007C5679"/>
    <w:rsid w:val="007E12B3"/>
    <w:rsid w:val="00854B10"/>
    <w:rsid w:val="00865B8B"/>
    <w:rsid w:val="008B0C38"/>
    <w:rsid w:val="008B739C"/>
    <w:rsid w:val="008E148B"/>
    <w:rsid w:val="008E5680"/>
    <w:rsid w:val="00916CEE"/>
    <w:rsid w:val="00957C82"/>
    <w:rsid w:val="00986AE9"/>
    <w:rsid w:val="00990E6F"/>
    <w:rsid w:val="009C40F4"/>
    <w:rsid w:val="009E7127"/>
    <w:rsid w:val="00A12D49"/>
    <w:rsid w:val="00AD3FDD"/>
    <w:rsid w:val="00BA4F1D"/>
    <w:rsid w:val="00BF7184"/>
    <w:rsid w:val="00C215C2"/>
    <w:rsid w:val="00C61FC4"/>
    <w:rsid w:val="00C63A2A"/>
    <w:rsid w:val="00C92340"/>
    <w:rsid w:val="00CD2C27"/>
    <w:rsid w:val="00D74966"/>
    <w:rsid w:val="00D84391"/>
    <w:rsid w:val="00DB0A02"/>
    <w:rsid w:val="00E34637"/>
    <w:rsid w:val="00E71439"/>
    <w:rsid w:val="00E73438"/>
    <w:rsid w:val="00E77A91"/>
    <w:rsid w:val="00E905DC"/>
    <w:rsid w:val="00EA5372"/>
    <w:rsid w:val="00ED526E"/>
    <w:rsid w:val="00EF6DA5"/>
    <w:rsid w:val="00F02ECD"/>
    <w:rsid w:val="00F27AB4"/>
    <w:rsid w:val="00FA217E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4359E-0F0C-4C74-AFB6-E6EA342C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1Body"/>
    <w:basedOn w:val="Normal"/>
    <w:link w:val="ListParagraphChar"/>
    <w:uiPriority w:val="34"/>
    <w:qFormat/>
    <w:rsid w:val="00416D0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ection1Char">
    <w:name w:val="Section 1 Char"/>
    <w:basedOn w:val="DefaultParagraphFont"/>
    <w:link w:val="Section1"/>
    <w:rsid w:val="00416D09"/>
    <w:rPr>
      <w:rFonts w:ascii="Arial" w:hAnsi="Arial" w:cs="Arial"/>
      <w:b/>
      <w:color w:val="E31B23"/>
      <w:sz w:val="36"/>
      <w:szCs w:val="36"/>
      <w:lang w:eastAsia="en-GB"/>
    </w:rPr>
  </w:style>
  <w:style w:type="paragraph" w:customStyle="1" w:styleId="Section1">
    <w:name w:val="Section 1"/>
    <w:basedOn w:val="ListParagraph"/>
    <w:link w:val="Section1Char"/>
    <w:qFormat/>
    <w:rsid w:val="00416D09"/>
    <w:pPr>
      <w:suppressAutoHyphens/>
      <w:ind w:left="0"/>
      <w:contextualSpacing/>
    </w:pPr>
    <w:rPr>
      <w:rFonts w:ascii="Arial" w:hAnsi="Arial" w:cs="Arial"/>
      <w:b/>
      <w:color w:val="E31B23"/>
      <w:sz w:val="36"/>
      <w:szCs w:val="36"/>
      <w:lang w:eastAsia="en-GB"/>
    </w:rPr>
  </w:style>
  <w:style w:type="character" w:customStyle="1" w:styleId="ListParagraphChar">
    <w:name w:val="List Paragraph Char"/>
    <w:aliases w:val="V1Body Char"/>
    <w:basedOn w:val="DefaultParagraphFont"/>
    <w:link w:val="ListParagraph"/>
    <w:uiPriority w:val="34"/>
    <w:rsid w:val="00416D09"/>
    <w:rPr>
      <w:rFonts w:ascii="Calibri" w:hAnsi="Calibri" w:cs="Times New Roman"/>
    </w:rPr>
  </w:style>
  <w:style w:type="paragraph" w:styleId="BodyText">
    <w:name w:val="Body Text"/>
    <w:basedOn w:val="Normal"/>
    <w:link w:val="BodyTextChar1"/>
    <w:rsid w:val="00416D09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16D09"/>
  </w:style>
  <w:style w:type="character" w:customStyle="1" w:styleId="BodyTextChar1">
    <w:name w:val="Body Text Char1"/>
    <w:basedOn w:val="DefaultParagraphFont"/>
    <w:link w:val="BodyText"/>
    <w:rsid w:val="00416D0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B"/>
  </w:style>
  <w:style w:type="paragraph" w:styleId="Footer">
    <w:name w:val="footer"/>
    <w:basedOn w:val="Normal"/>
    <w:link w:val="FooterChar"/>
    <w:uiPriority w:val="99"/>
    <w:unhideWhenUsed/>
    <w:rsid w:val="001D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B"/>
  </w:style>
  <w:style w:type="character" w:styleId="CommentReference">
    <w:name w:val="annotation reference"/>
    <w:basedOn w:val="DefaultParagraphFont"/>
    <w:uiPriority w:val="99"/>
    <w:semiHidden/>
    <w:unhideWhenUsed/>
    <w:rsid w:val="00C2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Phythian</dc:creator>
  <cp:keywords/>
  <dc:description/>
  <cp:lastModifiedBy>John Phythian</cp:lastModifiedBy>
  <cp:revision>2</cp:revision>
  <dcterms:created xsi:type="dcterms:W3CDTF">2018-03-14T21:05:00Z</dcterms:created>
  <dcterms:modified xsi:type="dcterms:W3CDTF">2018-03-14T21:05:00Z</dcterms:modified>
</cp:coreProperties>
</file>